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267" w:type="dxa"/>
        <w:tblLook w:val="04A0" w:firstRow="1" w:lastRow="0" w:firstColumn="1" w:lastColumn="0" w:noHBand="0" w:noVBand="1"/>
      </w:tblPr>
      <w:tblGrid>
        <w:gridCol w:w="1914"/>
        <w:gridCol w:w="1528"/>
        <w:gridCol w:w="6993"/>
        <w:gridCol w:w="1080"/>
        <w:gridCol w:w="812"/>
        <w:gridCol w:w="940"/>
      </w:tblGrid>
      <w:tr w:rsidR="00E37DF8" w:rsidRPr="00E37DF8" w14:paraId="7AB83990" w14:textId="77777777" w:rsidTr="00E37DF8">
        <w:trPr>
          <w:trHeight w:val="402"/>
        </w:trPr>
        <w:tc>
          <w:tcPr>
            <w:tcW w:w="1914" w:type="dxa"/>
            <w:hideMark/>
          </w:tcPr>
          <w:p w14:paraId="0EC5C0BE"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Project Name</w:t>
            </w:r>
          </w:p>
        </w:tc>
        <w:tc>
          <w:tcPr>
            <w:tcW w:w="1528" w:type="dxa"/>
            <w:noWrap/>
            <w:hideMark/>
          </w:tcPr>
          <w:p w14:paraId="537FE920"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Project Sponsor</w:t>
            </w:r>
          </w:p>
        </w:tc>
        <w:tc>
          <w:tcPr>
            <w:tcW w:w="6993" w:type="dxa"/>
            <w:noWrap/>
            <w:hideMark/>
          </w:tcPr>
          <w:p w14:paraId="69A60797"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Project Summary</w:t>
            </w:r>
          </w:p>
        </w:tc>
        <w:tc>
          <w:tcPr>
            <w:tcW w:w="1080" w:type="dxa"/>
            <w:noWrap/>
            <w:hideMark/>
          </w:tcPr>
          <w:p w14:paraId="217E24B8"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Status</w:t>
            </w:r>
          </w:p>
        </w:tc>
        <w:tc>
          <w:tcPr>
            <w:tcW w:w="812" w:type="dxa"/>
            <w:noWrap/>
            <w:hideMark/>
          </w:tcPr>
          <w:p w14:paraId="23E0BDA8"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Serves DAC</w:t>
            </w:r>
          </w:p>
        </w:tc>
        <w:tc>
          <w:tcPr>
            <w:tcW w:w="940" w:type="dxa"/>
            <w:noWrap/>
            <w:hideMark/>
          </w:tcPr>
          <w:p w14:paraId="7FD88FF2" w14:textId="77777777" w:rsidR="00E37DF8" w:rsidRPr="00E37DF8" w:rsidRDefault="00E37DF8">
            <w:pPr>
              <w:rPr>
                <w:rFonts w:ascii="Arial Narrow" w:hAnsi="Arial Narrow"/>
                <w:b/>
                <w:bCs/>
                <w:sz w:val="16"/>
                <w:szCs w:val="16"/>
              </w:rPr>
            </w:pPr>
            <w:r w:rsidRPr="00E37DF8">
              <w:rPr>
                <w:rFonts w:ascii="Arial Narrow" w:hAnsi="Arial Narrow"/>
                <w:b/>
                <w:bCs/>
                <w:sz w:val="16"/>
                <w:szCs w:val="16"/>
              </w:rPr>
              <w:t>Cost ($)</w:t>
            </w:r>
          </w:p>
        </w:tc>
      </w:tr>
      <w:tr w:rsidR="00E37DF8" w:rsidRPr="00E37DF8" w14:paraId="33D1FFE0" w14:textId="77777777" w:rsidTr="00E37DF8">
        <w:trPr>
          <w:trHeight w:val="402"/>
        </w:trPr>
        <w:tc>
          <w:tcPr>
            <w:tcW w:w="1914" w:type="dxa"/>
            <w:hideMark/>
          </w:tcPr>
          <w:p w14:paraId="61800CF7" w14:textId="77777777" w:rsidR="00E37DF8" w:rsidRPr="00E37DF8" w:rsidRDefault="00E37DF8">
            <w:pPr>
              <w:rPr>
                <w:rFonts w:ascii="Arial Narrow" w:hAnsi="Arial Narrow"/>
                <w:sz w:val="16"/>
                <w:szCs w:val="16"/>
              </w:rPr>
            </w:pPr>
            <w:r w:rsidRPr="00E37DF8">
              <w:rPr>
                <w:rFonts w:ascii="Arial Narrow" w:hAnsi="Arial Narrow"/>
                <w:sz w:val="16"/>
                <w:szCs w:val="16"/>
              </w:rPr>
              <w:t>Agricultural Management Practices Program (AMPP)</w:t>
            </w:r>
          </w:p>
        </w:tc>
        <w:tc>
          <w:tcPr>
            <w:tcW w:w="1528" w:type="dxa"/>
            <w:noWrap/>
            <w:hideMark/>
          </w:tcPr>
          <w:p w14:paraId="087E4BB5"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Farm </w:t>
            </w:r>
            <w:proofErr w:type="spellStart"/>
            <w:r w:rsidRPr="00E37DF8">
              <w:rPr>
                <w:rFonts w:ascii="Arial Narrow" w:hAnsi="Arial Narrow"/>
                <w:sz w:val="16"/>
                <w:szCs w:val="16"/>
              </w:rPr>
              <w:t>Buereau</w:t>
            </w:r>
            <w:proofErr w:type="spellEnd"/>
            <w:r w:rsidRPr="00E37DF8">
              <w:rPr>
                <w:rFonts w:ascii="Arial Narrow" w:hAnsi="Arial Narrow"/>
                <w:sz w:val="16"/>
                <w:szCs w:val="16"/>
              </w:rPr>
              <w:t xml:space="preserve"> of Ventura County</w:t>
            </w:r>
          </w:p>
        </w:tc>
        <w:tc>
          <w:tcPr>
            <w:tcW w:w="6993" w:type="dxa"/>
            <w:noWrap/>
            <w:hideMark/>
          </w:tcPr>
          <w:p w14:paraId="47D98410" w14:textId="77777777" w:rsidR="00E37DF8" w:rsidRPr="00E37DF8" w:rsidRDefault="00E37DF8">
            <w:pPr>
              <w:rPr>
                <w:rFonts w:ascii="Arial Narrow" w:hAnsi="Arial Narrow"/>
                <w:sz w:val="16"/>
                <w:szCs w:val="16"/>
              </w:rPr>
            </w:pPr>
            <w:r w:rsidRPr="00E37DF8">
              <w:rPr>
                <w:rFonts w:ascii="Arial Narrow" w:hAnsi="Arial Narrow"/>
                <w:sz w:val="16"/>
                <w:szCs w:val="16"/>
              </w:rPr>
              <w:t>The Agricultural Management Practices Program (AMMP) will work to reduce agricultural water quality impacts through the implementation of source control and structural Best Management Practices (BMPs).  In addition to implementation efforts, project funds would be utilized for targeted education and outreach to provide growers the information necessary to implement effective source control measures related to nutrient and pesticide application.  A cost-share portion of the program would fund the design and installation of structural BMPs, including filter strips, sediment basins, denitrifying bioreactors, irrigation tailwater recovery systems, and other measures designed to improve water quality. Evaluation of the effectiveness of these implemented measures would leverage the Ventura County Agricultural Irrigated Lands Group's (VCAILG) existing water quality monitoring program and sampling location data. The implementation of projects would be focused in areas with TMDL listings, where agricultural runoff has been identified as a source.</w:t>
            </w:r>
          </w:p>
        </w:tc>
        <w:tc>
          <w:tcPr>
            <w:tcW w:w="1080" w:type="dxa"/>
            <w:noWrap/>
            <w:hideMark/>
          </w:tcPr>
          <w:p w14:paraId="7EAC226A" w14:textId="77777777" w:rsidR="00E37DF8" w:rsidRPr="00E37DF8" w:rsidRDefault="00E37DF8">
            <w:pPr>
              <w:rPr>
                <w:rFonts w:ascii="Arial Narrow" w:hAnsi="Arial Narrow"/>
                <w:sz w:val="16"/>
                <w:szCs w:val="16"/>
              </w:rPr>
            </w:pPr>
            <w:r w:rsidRPr="00E37DF8">
              <w:rPr>
                <w:rFonts w:ascii="Arial Narrow" w:hAnsi="Arial Narrow"/>
                <w:sz w:val="16"/>
                <w:szCs w:val="16"/>
              </w:rPr>
              <w:t>Concept</w:t>
            </w:r>
          </w:p>
        </w:tc>
        <w:tc>
          <w:tcPr>
            <w:tcW w:w="812" w:type="dxa"/>
            <w:noWrap/>
            <w:hideMark/>
          </w:tcPr>
          <w:p w14:paraId="4F912C2B" w14:textId="77777777" w:rsidR="00E37DF8" w:rsidRPr="00E37DF8" w:rsidRDefault="00E37DF8">
            <w:pPr>
              <w:rPr>
                <w:rFonts w:ascii="Arial Narrow" w:hAnsi="Arial Narrow"/>
                <w:sz w:val="16"/>
                <w:szCs w:val="16"/>
              </w:rPr>
            </w:pPr>
            <w:r w:rsidRPr="00E37DF8">
              <w:rPr>
                <w:rFonts w:ascii="Arial Narrow" w:hAnsi="Arial Narrow"/>
                <w:sz w:val="16"/>
                <w:szCs w:val="16"/>
              </w:rPr>
              <w:t>No</w:t>
            </w:r>
          </w:p>
        </w:tc>
        <w:tc>
          <w:tcPr>
            <w:tcW w:w="940" w:type="dxa"/>
            <w:noWrap/>
            <w:hideMark/>
          </w:tcPr>
          <w:p w14:paraId="0F584E22" w14:textId="77777777" w:rsidR="00E37DF8" w:rsidRPr="00E37DF8" w:rsidRDefault="00E37DF8">
            <w:pPr>
              <w:rPr>
                <w:rFonts w:ascii="Arial Narrow" w:hAnsi="Arial Narrow"/>
                <w:sz w:val="16"/>
                <w:szCs w:val="16"/>
              </w:rPr>
            </w:pPr>
          </w:p>
        </w:tc>
      </w:tr>
      <w:tr w:rsidR="00E37DF8" w:rsidRPr="00E37DF8" w14:paraId="680D89EF" w14:textId="77777777" w:rsidTr="00E37DF8">
        <w:trPr>
          <w:trHeight w:val="402"/>
        </w:trPr>
        <w:tc>
          <w:tcPr>
            <w:tcW w:w="1914" w:type="dxa"/>
            <w:hideMark/>
          </w:tcPr>
          <w:p w14:paraId="5806B084" w14:textId="77777777" w:rsidR="00E37DF8" w:rsidRPr="00E37DF8" w:rsidRDefault="00E37DF8">
            <w:pPr>
              <w:rPr>
                <w:rFonts w:ascii="Arial Narrow" w:hAnsi="Arial Narrow"/>
                <w:sz w:val="16"/>
                <w:szCs w:val="16"/>
              </w:rPr>
            </w:pPr>
            <w:r w:rsidRPr="00E37DF8">
              <w:rPr>
                <w:rFonts w:ascii="Arial Narrow" w:hAnsi="Arial Narrow"/>
                <w:sz w:val="16"/>
                <w:szCs w:val="16"/>
              </w:rPr>
              <w:t>Agricultural Water Use Efficiency Program</w:t>
            </w:r>
          </w:p>
        </w:tc>
        <w:tc>
          <w:tcPr>
            <w:tcW w:w="1528" w:type="dxa"/>
            <w:noWrap/>
            <w:hideMark/>
          </w:tcPr>
          <w:p w14:paraId="13AE923F"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Farm </w:t>
            </w:r>
            <w:proofErr w:type="spellStart"/>
            <w:r w:rsidRPr="00E37DF8">
              <w:rPr>
                <w:rFonts w:ascii="Arial Narrow" w:hAnsi="Arial Narrow"/>
                <w:sz w:val="16"/>
                <w:szCs w:val="16"/>
              </w:rPr>
              <w:t>Buereau</w:t>
            </w:r>
            <w:proofErr w:type="spellEnd"/>
            <w:r w:rsidRPr="00E37DF8">
              <w:rPr>
                <w:rFonts w:ascii="Arial Narrow" w:hAnsi="Arial Narrow"/>
                <w:sz w:val="16"/>
                <w:szCs w:val="16"/>
              </w:rPr>
              <w:t xml:space="preserve"> of Ventura County</w:t>
            </w:r>
          </w:p>
        </w:tc>
        <w:tc>
          <w:tcPr>
            <w:tcW w:w="6993" w:type="dxa"/>
            <w:noWrap/>
            <w:hideMark/>
          </w:tcPr>
          <w:p w14:paraId="3D270ECB"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This program would be a continuation of the existing Prop 84 Agricultural Water Use Efficiency project.  Many local growers have applied for funding through the AWUE program but have not had the time or resources to complete the development of their projects.  As the AWUE program approaches the end of available funding, many projects still in the concept or design phases </w:t>
            </w:r>
            <w:proofErr w:type="gramStart"/>
            <w:r w:rsidRPr="00E37DF8">
              <w:rPr>
                <w:rFonts w:ascii="Arial Narrow" w:hAnsi="Arial Narrow"/>
                <w:sz w:val="16"/>
                <w:szCs w:val="16"/>
              </w:rPr>
              <w:t>will  be</w:t>
            </w:r>
            <w:proofErr w:type="gramEnd"/>
            <w:r w:rsidRPr="00E37DF8">
              <w:rPr>
                <w:rFonts w:ascii="Arial Narrow" w:hAnsi="Arial Narrow"/>
                <w:sz w:val="16"/>
                <w:szCs w:val="16"/>
              </w:rPr>
              <w:t xml:space="preserve"> left with no funding.  Additionally, new applicants continue to submit interest surveys for irrigation efficiency evaluations and proposed projects. This proposed project would enable the continuation of incomplete projects and identify new project opportunities with significant water savings potential.</w:t>
            </w:r>
          </w:p>
        </w:tc>
        <w:tc>
          <w:tcPr>
            <w:tcW w:w="1080" w:type="dxa"/>
            <w:noWrap/>
            <w:hideMark/>
          </w:tcPr>
          <w:p w14:paraId="1E6F531F" w14:textId="77777777" w:rsidR="00E37DF8" w:rsidRPr="00E37DF8" w:rsidRDefault="00E37DF8">
            <w:pPr>
              <w:rPr>
                <w:rFonts w:ascii="Arial Narrow" w:hAnsi="Arial Narrow"/>
                <w:sz w:val="16"/>
                <w:szCs w:val="16"/>
              </w:rPr>
            </w:pPr>
            <w:r w:rsidRPr="00E37DF8">
              <w:rPr>
                <w:rFonts w:ascii="Arial Narrow" w:hAnsi="Arial Narrow"/>
                <w:sz w:val="16"/>
                <w:szCs w:val="16"/>
              </w:rPr>
              <w:t>Grant Received</w:t>
            </w:r>
          </w:p>
        </w:tc>
        <w:tc>
          <w:tcPr>
            <w:tcW w:w="812" w:type="dxa"/>
            <w:noWrap/>
            <w:hideMark/>
          </w:tcPr>
          <w:p w14:paraId="27D85D77" w14:textId="77777777" w:rsidR="00E37DF8" w:rsidRPr="00E37DF8" w:rsidRDefault="00E37DF8">
            <w:pPr>
              <w:rPr>
                <w:rFonts w:ascii="Arial Narrow" w:hAnsi="Arial Narrow"/>
                <w:sz w:val="16"/>
                <w:szCs w:val="16"/>
              </w:rPr>
            </w:pPr>
            <w:r w:rsidRPr="00E37DF8">
              <w:rPr>
                <w:rFonts w:ascii="Arial Narrow" w:hAnsi="Arial Narrow"/>
                <w:sz w:val="16"/>
                <w:szCs w:val="16"/>
              </w:rPr>
              <w:t>No</w:t>
            </w:r>
          </w:p>
        </w:tc>
        <w:tc>
          <w:tcPr>
            <w:tcW w:w="940" w:type="dxa"/>
            <w:noWrap/>
            <w:hideMark/>
          </w:tcPr>
          <w:p w14:paraId="32865E98" w14:textId="77777777" w:rsidR="00E37DF8" w:rsidRPr="00E37DF8" w:rsidRDefault="00E37DF8">
            <w:pPr>
              <w:rPr>
                <w:rFonts w:ascii="Arial Narrow" w:hAnsi="Arial Narrow"/>
                <w:sz w:val="16"/>
                <w:szCs w:val="16"/>
              </w:rPr>
            </w:pPr>
          </w:p>
        </w:tc>
      </w:tr>
      <w:tr w:rsidR="00E37DF8" w:rsidRPr="00E37DF8" w14:paraId="3EA375C5" w14:textId="77777777" w:rsidTr="00E37DF8">
        <w:trPr>
          <w:trHeight w:val="402"/>
        </w:trPr>
        <w:tc>
          <w:tcPr>
            <w:tcW w:w="1914" w:type="dxa"/>
            <w:hideMark/>
          </w:tcPr>
          <w:p w14:paraId="1E4E2D7E" w14:textId="77777777" w:rsidR="00E37DF8" w:rsidRPr="00E37DF8" w:rsidRDefault="00E37DF8">
            <w:pPr>
              <w:rPr>
                <w:rFonts w:ascii="Arial Narrow" w:hAnsi="Arial Narrow"/>
                <w:sz w:val="16"/>
                <w:szCs w:val="16"/>
              </w:rPr>
            </w:pPr>
            <w:r w:rsidRPr="00E37DF8">
              <w:rPr>
                <w:rFonts w:ascii="Arial Narrow" w:hAnsi="Arial Narrow"/>
                <w:sz w:val="16"/>
                <w:szCs w:val="16"/>
              </w:rPr>
              <w:t>Healthy Soils and Agricultural Resiliency</w:t>
            </w:r>
          </w:p>
        </w:tc>
        <w:tc>
          <w:tcPr>
            <w:tcW w:w="1528" w:type="dxa"/>
            <w:noWrap/>
            <w:hideMark/>
          </w:tcPr>
          <w:p w14:paraId="3833EB07" w14:textId="77777777" w:rsidR="00E37DF8" w:rsidRPr="00E37DF8" w:rsidRDefault="00E37DF8">
            <w:pPr>
              <w:rPr>
                <w:rFonts w:ascii="Arial Narrow" w:hAnsi="Arial Narrow"/>
                <w:sz w:val="16"/>
                <w:szCs w:val="16"/>
              </w:rPr>
            </w:pPr>
            <w:r w:rsidRPr="00E37DF8">
              <w:rPr>
                <w:rFonts w:ascii="Arial Narrow" w:hAnsi="Arial Narrow"/>
                <w:sz w:val="16"/>
                <w:szCs w:val="16"/>
              </w:rPr>
              <w:t>Community Environmental Council</w:t>
            </w:r>
          </w:p>
        </w:tc>
        <w:tc>
          <w:tcPr>
            <w:tcW w:w="6993" w:type="dxa"/>
            <w:noWrap/>
            <w:hideMark/>
          </w:tcPr>
          <w:p w14:paraId="32916415"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Healthy Soils and Agricultural Resiliency program &amp; projects will focus on incentivizing the implementation of soil-building practices on rangeland, and row and orchard crops in Ventura County, to demonstrate and scale up water-use efficiency, groundwater recharge, runoff reduction, and drought resiliency benefits to the agricultural community. Through incentives and demonstration sites, landowners will use a combination of nutrient management and conservation crop rotations, no-till/strip-till, cover crops, compost application, mulching, and hedgerow planting among others, which are supported by the NRCS and CDFA, and planned and prescribed to complement each other. </w:t>
            </w:r>
            <w:r w:rsidRPr="00E37DF8">
              <w:rPr>
                <w:rFonts w:ascii="Arial Narrow" w:hAnsi="Arial Narrow"/>
                <w:sz w:val="16"/>
                <w:szCs w:val="16"/>
              </w:rPr>
              <w:br/>
              <w:t xml:space="preserve">This project will engage conventional growers in drought mitigation and climate resiliency efforts, and demonstrate that land-based climate solutions provide multiple on-farm hydrological and ecological benefits, including increased water-holding capacity, decreased runoff, increased soil organic matter and biodiversity, and economic benefits including increased yield, and decreased water-use. These on-farm benefits can have positive regional impact on water supply, water quality, and economic resilience. </w:t>
            </w:r>
          </w:p>
        </w:tc>
        <w:tc>
          <w:tcPr>
            <w:tcW w:w="1080" w:type="dxa"/>
            <w:noWrap/>
            <w:hideMark/>
          </w:tcPr>
          <w:p w14:paraId="0EB94948" w14:textId="77777777" w:rsidR="00E37DF8" w:rsidRPr="00E37DF8" w:rsidRDefault="00E37DF8">
            <w:pPr>
              <w:rPr>
                <w:rFonts w:ascii="Arial Narrow" w:hAnsi="Arial Narrow"/>
                <w:sz w:val="16"/>
                <w:szCs w:val="16"/>
              </w:rPr>
            </w:pPr>
            <w:r w:rsidRPr="00E37DF8">
              <w:rPr>
                <w:rFonts w:ascii="Arial Narrow" w:hAnsi="Arial Narrow"/>
                <w:sz w:val="16"/>
                <w:szCs w:val="16"/>
              </w:rPr>
              <w:t>Concept</w:t>
            </w:r>
          </w:p>
        </w:tc>
        <w:tc>
          <w:tcPr>
            <w:tcW w:w="812" w:type="dxa"/>
            <w:noWrap/>
            <w:hideMark/>
          </w:tcPr>
          <w:p w14:paraId="1BC7315B" w14:textId="77777777" w:rsidR="00E37DF8" w:rsidRPr="00E37DF8" w:rsidRDefault="00E37DF8">
            <w:pPr>
              <w:rPr>
                <w:rFonts w:ascii="Arial Narrow" w:hAnsi="Arial Narrow"/>
                <w:sz w:val="16"/>
                <w:szCs w:val="16"/>
              </w:rPr>
            </w:pPr>
            <w:r w:rsidRPr="00E37DF8">
              <w:rPr>
                <w:rFonts w:ascii="Arial Narrow" w:hAnsi="Arial Narrow"/>
                <w:sz w:val="16"/>
                <w:szCs w:val="16"/>
              </w:rPr>
              <w:t>Yes(?)</w:t>
            </w:r>
          </w:p>
        </w:tc>
        <w:tc>
          <w:tcPr>
            <w:tcW w:w="940" w:type="dxa"/>
            <w:noWrap/>
            <w:hideMark/>
          </w:tcPr>
          <w:p w14:paraId="43BD39B7" w14:textId="77777777" w:rsidR="00E37DF8" w:rsidRPr="00E37DF8" w:rsidRDefault="00E37DF8">
            <w:pPr>
              <w:rPr>
                <w:rFonts w:ascii="Arial Narrow" w:hAnsi="Arial Narrow"/>
                <w:sz w:val="16"/>
                <w:szCs w:val="16"/>
              </w:rPr>
            </w:pPr>
          </w:p>
        </w:tc>
      </w:tr>
      <w:tr w:rsidR="00E37DF8" w:rsidRPr="00E37DF8" w14:paraId="00A307BF" w14:textId="77777777" w:rsidTr="00E37DF8">
        <w:trPr>
          <w:trHeight w:val="402"/>
        </w:trPr>
        <w:tc>
          <w:tcPr>
            <w:tcW w:w="1914" w:type="dxa"/>
            <w:hideMark/>
          </w:tcPr>
          <w:p w14:paraId="6858DE36" w14:textId="77777777" w:rsidR="00E37DF8" w:rsidRPr="00E37DF8" w:rsidRDefault="00E37DF8">
            <w:pPr>
              <w:rPr>
                <w:rFonts w:ascii="Arial Narrow" w:hAnsi="Arial Narrow"/>
                <w:sz w:val="16"/>
                <w:szCs w:val="16"/>
              </w:rPr>
            </w:pPr>
            <w:r w:rsidRPr="00E37DF8">
              <w:rPr>
                <w:rFonts w:ascii="Arial Narrow" w:hAnsi="Arial Narrow"/>
                <w:sz w:val="16"/>
                <w:szCs w:val="16"/>
              </w:rPr>
              <w:t>Ventura County Public Drinking Water Baseline Water Testing and Water Tale Measurement Assessment (Baseline Water Testing)</w:t>
            </w:r>
          </w:p>
        </w:tc>
        <w:tc>
          <w:tcPr>
            <w:tcW w:w="1528" w:type="dxa"/>
            <w:noWrap/>
            <w:hideMark/>
          </w:tcPr>
          <w:p w14:paraId="3451B9C6" w14:textId="77777777" w:rsidR="00E37DF8" w:rsidRPr="00E37DF8" w:rsidRDefault="00E37DF8">
            <w:pPr>
              <w:rPr>
                <w:rFonts w:ascii="Arial Narrow" w:hAnsi="Arial Narrow"/>
                <w:sz w:val="16"/>
                <w:szCs w:val="16"/>
              </w:rPr>
            </w:pPr>
            <w:r w:rsidRPr="00E37DF8">
              <w:rPr>
                <w:rFonts w:ascii="Arial Narrow" w:hAnsi="Arial Narrow"/>
                <w:sz w:val="16"/>
                <w:szCs w:val="16"/>
              </w:rPr>
              <w:t>Bob Nast</w:t>
            </w:r>
          </w:p>
        </w:tc>
        <w:tc>
          <w:tcPr>
            <w:tcW w:w="6993" w:type="dxa"/>
            <w:noWrap/>
            <w:hideMark/>
          </w:tcPr>
          <w:p w14:paraId="27C25738"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This project baselines (read as ‘legally’ documents) the quality of Ventura County’s underground sources of public drinking water for future use in case of contamination lawsuits. Because of strict chain of custody requirements, baseline test results standup in court. Without baseline test results contaminating parties argue and win; claiming the water quality was already damaged prior to their actions.  </w:t>
            </w:r>
            <w:r w:rsidRPr="00E37DF8">
              <w:rPr>
                <w:rFonts w:ascii="Arial Narrow" w:hAnsi="Arial Narrow"/>
                <w:sz w:val="16"/>
                <w:szCs w:val="16"/>
              </w:rPr>
              <w:br/>
              <w:t xml:space="preserve">In addition, it benchmarks the various water tables in the county’s water basins; valuable data during the ongoing drought.  Fact, “there were 868 reported spills linked to oil extraction and production in Ventura County between January 1994 and February 2013. These were just the spills that were reported.  </w:t>
            </w:r>
            <w:r w:rsidRPr="00E37DF8">
              <w:rPr>
                <w:rFonts w:ascii="Arial Narrow" w:hAnsi="Arial Narrow"/>
                <w:sz w:val="16"/>
                <w:szCs w:val="16"/>
              </w:rPr>
              <w:br/>
              <w:t>The California Regional Water Quality Control Board, Los Angeles Region (Regional Board) began monitoring of Oxnard Plain aquifers starting early 2018 in accordance with SB4, the CA law, which regulates fracking. Oil and water don’t mix.</w:t>
            </w:r>
          </w:p>
        </w:tc>
        <w:tc>
          <w:tcPr>
            <w:tcW w:w="1080" w:type="dxa"/>
            <w:noWrap/>
            <w:hideMark/>
          </w:tcPr>
          <w:p w14:paraId="6598CB78" w14:textId="77777777" w:rsidR="00E37DF8" w:rsidRPr="00E37DF8" w:rsidRDefault="00E37DF8">
            <w:pPr>
              <w:rPr>
                <w:rFonts w:ascii="Arial Narrow" w:hAnsi="Arial Narrow"/>
                <w:sz w:val="16"/>
                <w:szCs w:val="16"/>
              </w:rPr>
            </w:pPr>
            <w:r w:rsidRPr="00E37DF8">
              <w:rPr>
                <w:rFonts w:ascii="Arial Narrow" w:hAnsi="Arial Narrow"/>
                <w:sz w:val="16"/>
                <w:szCs w:val="16"/>
              </w:rPr>
              <w:t>Concept</w:t>
            </w:r>
          </w:p>
        </w:tc>
        <w:tc>
          <w:tcPr>
            <w:tcW w:w="812" w:type="dxa"/>
            <w:noWrap/>
            <w:hideMark/>
          </w:tcPr>
          <w:p w14:paraId="1605DC6A" w14:textId="77777777" w:rsidR="00E37DF8" w:rsidRPr="00E37DF8" w:rsidRDefault="00E37DF8">
            <w:pPr>
              <w:rPr>
                <w:rFonts w:ascii="Arial Narrow" w:hAnsi="Arial Narrow"/>
                <w:sz w:val="16"/>
                <w:szCs w:val="16"/>
              </w:rPr>
            </w:pPr>
            <w:r w:rsidRPr="00E37DF8">
              <w:rPr>
                <w:rFonts w:ascii="Arial Narrow" w:hAnsi="Arial Narrow"/>
                <w:sz w:val="16"/>
                <w:szCs w:val="16"/>
              </w:rPr>
              <w:t>Yes</w:t>
            </w:r>
          </w:p>
        </w:tc>
        <w:tc>
          <w:tcPr>
            <w:tcW w:w="940" w:type="dxa"/>
            <w:noWrap/>
            <w:hideMark/>
          </w:tcPr>
          <w:p w14:paraId="79E5928A" w14:textId="77777777" w:rsidR="00E37DF8" w:rsidRPr="00E37DF8" w:rsidRDefault="00E37DF8">
            <w:pPr>
              <w:rPr>
                <w:rFonts w:ascii="Arial Narrow" w:hAnsi="Arial Narrow"/>
                <w:sz w:val="16"/>
                <w:szCs w:val="16"/>
              </w:rPr>
            </w:pPr>
          </w:p>
        </w:tc>
      </w:tr>
      <w:tr w:rsidR="00E37DF8" w:rsidRPr="00E37DF8" w14:paraId="25F3128F" w14:textId="77777777" w:rsidTr="00E37DF8">
        <w:trPr>
          <w:trHeight w:val="402"/>
        </w:trPr>
        <w:tc>
          <w:tcPr>
            <w:tcW w:w="1914" w:type="dxa"/>
            <w:hideMark/>
          </w:tcPr>
          <w:p w14:paraId="2F9C8390" w14:textId="77777777" w:rsidR="00E37DF8" w:rsidRPr="00E37DF8" w:rsidRDefault="00E37DF8">
            <w:pPr>
              <w:rPr>
                <w:rFonts w:ascii="Arial Narrow" w:hAnsi="Arial Narrow"/>
                <w:sz w:val="16"/>
                <w:szCs w:val="16"/>
              </w:rPr>
            </w:pPr>
            <w:r w:rsidRPr="00E37DF8">
              <w:rPr>
                <w:rFonts w:ascii="Arial Narrow" w:hAnsi="Arial Narrow"/>
                <w:sz w:val="16"/>
                <w:szCs w:val="16"/>
              </w:rPr>
              <w:t>Agricultural Water Project Investment Prioritization Taskforce</w:t>
            </w:r>
          </w:p>
        </w:tc>
        <w:tc>
          <w:tcPr>
            <w:tcW w:w="1528" w:type="dxa"/>
            <w:noWrap/>
            <w:hideMark/>
          </w:tcPr>
          <w:p w14:paraId="227008DD" w14:textId="77777777" w:rsidR="00E37DF8" w:rsidRPr="00E37DF8" w:rsidRDefault="00E37DF8">
            <w:pPr>
              <w:rPr>
                <w:rFonts w:ascii="Arial Narrow" w:hAnsi="Arial Narrow"/>
                <w:sz w:val="16"/>
                <w:szCs w:val="16"/>
              </w:rPr>
            </w:pPr>
            <w:r w:rsidRPr="00E37DF8">
              <w:rPr>
                <w:rFonts w:ascii="Arial Narrow" w:hAnsi="Arial Narrow"/>
                <w:sz w:val="16"/>
                <w:szCs w:val="16"/>
              </w:rPr>
              <w:t>Ventura County Resource Conservation District</w:t>
            </w:r>
          </w:p>
        </w:tc>
        <w:tc>
          <w:tcPr>
            <w:tcW w:w="6993" w:type="dxa"/>
            <w:noWrap/>
            <w:hideMark/>
          </w:tcPr>
          <w:p w14:paraId="7856493D" w14:textId="77777777" w:rsidR="00E37DF8" w:rsidRPr="00E37DF8" w:rsidRDefault="00E37DF8">
            <w:pPr>
              <w:rPr>
                <w:rFonts w:ascii="Arial Narrow" w:hAnsi="Arial Narrow"/>
                <w:sz w:val="16"/>
                <w:szCs w:val="16"/>
              </w:rPr>
            </w:pPr>
            <w:r w:rsidRPr="00E37DF8">
              <w:rPr>
                <w:rFonts w:ascii="Arial Narrow" w:hAnsi="Arial Narrow"/>
                <w:sz w:val="16"/>
                <w:szCs w:val="16"/>
              </w:rPr>
              <w:t xml:space="preserve">The Agricultural Water Project Investment Prioritization Taskforce (AWPIPT) will convene agriculturally-focused stakeholder to identify and prioritize water projects relevant to local agriculture. Projects may range from current-issue topics, such as building on-site reservoirs and financing mutual water district upgrades, to developing next-generation technology such as sensor integrated computerized water demand-water delivery acquisition systems. AWPIPT will engage with municipals, special districts, and other regional water-use project and land-use stakeholder groups to develop scenarios that delineate commonalities in strategies and timelines for project adoption and to determine the agricultural community's roles and opportunities for supporting watershed-level surface, groundwater, and environmental water enhancement practices and projects. Potential projects will be ranked with an emphasis on water-loss reductions but will also be evaluated with respect to their potential for multiple environmental benefits. </w:t>
            </w:r>
            <w:r w:rsidRPr="00E37DF8">
              <w:rPr>
                <w:rFonts w:ascii="Arial Narrow" w:hAnsi="Arial Narrow"/>
                <w:sz w:val="16"/>
                <w:szCs w:val="16"/>
              </w:rPr>
              <w:lastRenderedPageBreak/>
              <w:t xml:space="preserve">The goal is to define and articulate these agricultural water projects to streamline the funding process and expedite their implementation. </w:t>
            </w:r>
          </w:p>
        </w:tc>
        <w:tc>
          <w:tcPr>
            <w:tcW w:w="1080" w:type="dxa"/>
            <w:noWrap/>
            <w:hideMark/>
          </w:tcPr>
          <w:p w14:paraId="21448E8A" w14:textId="77777777" w:rsidR="00E37DF8" w:rsidRPr="00E37DF8" w:rsidRDefault="00E37DF8">
            <w:pPr>
              <w:rPr>
                <w:rFonts w:ascii="Arial Narrow" w:hAnsi="Arial Narrow"/>
                <w:sz w:val="16"/>
                <w:szCs w:val="16"/>
              </w:rPr>
            </w:pPr>
            <w:r w:rsidRPr="00E37DF8">
              <w:rPr>
                <w:rFonts w:ascii="Arial Narrow" w:hAnsi="Arial Narrow"/>
                <w:sz w:val="16"/>
                <w:szCs w:val="16"/>
              </w:rPr>
              <w:lastRenderedPageBreak/>
              <w:t>Concept</w:t>
            </w:r>
          </w:p>
        </w:tc>
        <w:tc>
          <w:tcPr>
            <w:tcW w:w="812" w:type="dxa"/>
            <w:noWrap/>
            <w:hideMark/>
          </w:tcPr>
          <w:p w14:paraId="3A0620BA" w14:textId="77777777" w:rsidR="00E37DF8" w:rsidRPr="00E37DF8" w:rsidRDefault="00E37DF8">
            <w:pPr>
              <w:rPr>
                <w:rFonts w:ascii="Arial Narrow" w:hAnsi="Arial Narrow"/>
                <w:sz w:val="16"/>
                <w:szCs w:val="16"/>
              </w:rPr>
            </w:pPr>
            <w:r w:rsidRPr="00E37DF8">
              <w:rPr>
                <w:rFonts w:ascii="Arial Narrow" w:hAnsi="Arial Narrow"/>
                <w:sz w:val="16"/>
                <w:szCs w:val="16"/>
              </w:rPr>
              <w:t>No</w:t>
            </w:r>
          </w:p>
        </w:tc>
        <w:tc>
          <w:tcPr>
            <w:tcW w:w="940" w:type="dxa"/>
            <w:noWrap/>
            <w:hideMark/>
          </w:tcPr>
          <w:p w14:paraId="182252F8" w14:textId="77777777" w:rsidR="00E37DF8" w:rsidRPr="00E37DF8" w:rsidRDefault="00E37DF8">
            <w:pPr>
              <w:rPr>
                <w:rFonts w:ascii="Arial Narrow" w:hAnsi="Arial Narrow"/>
                <w:sz w:val="16"/>
                <w:szCs w:val="16"/>
              </w:rPr>
            </w:pPr>
          </w:p>
        </w:tc>
      </w:tr>
      <w:tr w:rsidR="00E37DF8" w:rsidRPr="00E37DF8" w14:paraId="35D68243" w14:textId="77777777" w:rsidTr="00E37DF8">
        <w:trPr>
          <w:trHeight w:val="885"/>
        </w:trPr>
        <w:tc>
          <w:tcPr>
            <w:tcW w:w="1914" w:type="dxa"/>
            <w:hideMark/>
          </w:tcPr>
          <w:p w14:paraId="39B3D66B" w14:textId="77777777" w:rsidR="00E37DF8" w:rsidRPr="00E37DF8" w:rsidRDefault="00E37DF8">
            <w:pPr>
              <w:rPr>
                <w:rFonts w:ascii="Arial Narrow" w:hAnsi="Arial Narrow"/>
                <w:sz w:val="16"/>
                <w:szCs w:val="16"/>
              </w:rPr>
            </w:pPr>
            <w:r w:rsidRPr="00E37DF8">
              <w:rPr>
                <w:rFonts w:ascii="Arial Narrow" w:hAnsi="Arial Narrow"/>
                <w:sz w:val="16"/>
                <w:szCs w:val="16"/>
              </w:rPr>
              <w:t>Remote Sensing Irrigation Distribution Uniformity Estimator (RSIDUE)</w:t>
            </w:r>
          </w:p>
        </w:tc>
        <w:tc>
          <w:tcPr>
            <w:tcW w:w="1528" w:type="dxa"/>
            <w:noWrap/>
            <w:hideMark/>
          </w:tcPr>
          <w:p w14:paraId="4335AA00" w14:textId="77777777" w:rsidR="00E37DF8" w:rsidRPr="00E37DF8" w:rsidRDefault="00E37DF8">
            <w:pPr>
              <w:rPr>
                <w:rFonts w:ascii="Arial Narrow" w:hAnsi="Arial Narrow"/>
                <w:sz w:val="16"/>
                <w:szCs w:val="16"/>
              </w:rPr>
            </w:pPr>
            <w:r w:rsidRPr="00E37DF8">
              <w:rPr>
                <w:rFonts w:ascii="Arial Narrow" w:hAnsi="Arial Narrow"/>
                <w:sz w:val="16"/>
                <w:szCs w:val="16"/>
              </w:rPr>
              <w:t>Ventura County Resource Conservation District</w:t>
            </w:r>
          </w:p>
        </w:tc>
        <w:tc>
          <w:tcPr>
            <w:tcW w:w="6993" w:type="dxa"/>
            <w:noWrap/>
            <w:hideMark/>
          </w:tcPr>
          <w:p w14:paraId="4A70EEE9" w14:textId="77777777" w:rsidR="00E37DF8" w:rsidRPr="00E37DF8" w:rsidRDefault="00E37DF8">
            <w:pPr>
              <w:rPr>
                <w:rFonts w:ascii="Arial Narrow" w:hAnsi="Arial Narrow"/>
                <w:sz w:val="16"/>
                <w:szCs w:val="16"/>
              </w:rPr>
            </w:pPr>
            <w:r w:rsidRPr="00E37DF8">
              <w:rPr>
                <w:rFonts w:ascii="Arial Narrow" w:hAnsi="Arial Narrow"/>
                <w:sz w:val="16"/>
                <w:szCs w:val="16"/>
              </w:rPr>
              <w:t>The Ventura County Resource Conservation District (VCRCD) Mobile Irrigation Lab (MIL) program helps growers improve the distribution uniformity (DU) of their irrigation systems. VCRCD has found that DU improvements across Ventura County crop types typically yield median water savings of 15%. However, the MIL program’s true value is not fully realized because growers often don’t know when to schedule DU tests and MIL staff lack a county-wide method to efficiently identify fields with the greatest need for DU improvements. We propose developing a pilot project that integrates MIL field data and machine learning to build and test models linking on-site DU measurements and GIS environmental data layers to remotely sensed data (such as imagery and actual evapotranspiration). These models will screen and proactively map fields whose plant growth or water-use patterns are indicative of poor DU while estimating water-use for Ventura County on a per-field basis. This will streamline VCRCD’s MIL program so it can more effectively help growers adapt to reduced water availability and provide Ventura County with statistical data relevant to addressing regional water needs.</w:t>
            </w:r>
          </w:p>
        </w:tc>
        <w:tc>
          <w:tcPr>
            <w:tcW w:w="1080" w:type="dxa"/>
            <w:noWrap/>
            <w:hideMark/>
          </w:tcPr>
          <w:p w14:paraId="698A37C9" w14:textId="77777777" w:rsidR="00E37DF8" w:rsidRPr="00E37DF8" w:rsidRDefault="00E37DF8">
            <w:pPr>
              <w:rPr>
                <w:rFonts w:ascii="Arial Narrow" w:hAnsi="Arial Narrow"/>
                <w:sz w:val="16"/>
                <w:szCs w:val="16"/>
              </w:rPr>
            </w:pPr>
            <w:r w:rsidRPr="00E37DF8">
              <w:rPr>
                <w:rFonts w:ascii="Arial Narrow" w:hAnsi="Arial Narrow"/>
                <w:sz w:val="16"/>
                <w:szCs w:val="16"/>
              </w:rPr>
              <w:t>Concept</w:t>
            </w:r>
          </w:p>
        </w:tc>
        <w:tc>
          <w:tcPr>
            <w:tcW w:w="812" w:type="dxa"/>
            <w:noWrap/>
            <w:hideMark/>
          </w:tcPr>
          <w:p w14:paraId="269A8885" w14:textId="77777777" w:rsidR="00E37DF8" w:rsidRPr="00E37DF8" w:rsidRDefault="00E37DF8">
            <w:pPr>
              <w:rPr>
                <w:rFonts w:ascii="Arial Narrow" w:hAnsi="Arial Narrow"/>
                <w:sz w:val="16"/>
                <w:szCs w:val="16"/>
              </w:rPr>
            </w:pPr>
            <w:r w:rsidRPr="00E37DF8">
              <w:rPr>
                <w:rFonts w:ascii="Arial Narrow" w:hAnsi="Arial Narrow"/>
                <w:sz w:val="16"/>
                <w:szCs w:val="16"/>
              </w:rPr>
              <w:t>No</w:t>
            </w:r>
          </w:p>
        </w:tc>
        <w:tc>
          <w:tcPr>
            <w:tcW w:w="940" w:type="dxa"/>
            <w:noWrap/>
            <w:hideMark/>
          </w:tcPr>
          <w:p w14:paraId="11742B10" w14:textId="77777777" w:rsidR="00E37DF8" w:rsidRPr="00E37DF8" w:rsidRDefault="00E37DF8" w:rsidP="00E37DF8">
            <w:pPr>
              <w:rPr>
                <w:rFonts w:ascii="Arial Narrow" w:hAnsi="Arial Narrow"/>
                <w:sz w:val="16"/>
                <w:szCs w:val="16"/>
              </w:rPr>
            </w:pPr>
            <w:r w:rsidRPr="00E37DF8">
              <w:rPr>
                <w:rFonts w:ascii="Arial Narrow" w:hAnsi="Arial Narrow"/>
                <w:sz w:val="16"/>
                <w:szCs w:val="16"/>
              </w:rPr>
              <w:t>400,000</w:t>
            </w:r>
          </w:p>
        </w:tc>
      </w:tr>
      <w:tr w:rsidR="00E37DF8" w:rsidRPr="00E37DF8" w14:paraId="01BFA9BA" w14:textId="77777777" w:rsidTr="00E37DF8">
        <w:trPr>
          <w:gridAfter w:val="2"/>
          <w:wAfter w:w="1752" w:type="dxa"/>
          <w:trHeight w:val="402"/>
        </w:trPr>
        <w:tc>
          <w:tcPr>
            <w:tcW w:w="1914" w:type="dxa"/>
            <w:hideMark/>
          </w:tcPr>
          <w:p w14:paraId="7A9131A5" w14:textId="77777777" w:rsidR="00E37DF8" w:rsidRPr="00E37DF8" w:rsidRDefault="00E37DF8">
            <w:pPr>
              <w:rPr>
                <w:rFonts w:ascii="Arial Narrow" w:hAnsi="Arial Narrow"/>
                <w:sz w:val="16"/>
                <w:szCs w:val="16"/>
              </w:rPr>
            </w:pPr>
            <w:proofErr w:type="spellStart"/>
            <w:r w:rsidRPr="00E37DF8">
              <w:rPr>
                <w:rFonts w:ascii="Arial Narrow" w:hAnsi="Arial Narrow"/>
                <w:sz w:val="16"/>
                <w:szCs w:val="16"/>
              </w:rPr>
              <w:t>VenturaWaterPure</w:t>
            </w:r>
            <w:proofErr w:type="spellEnd"/>
          </w:p>
        </w:tc>
        <w:tc>
          <w:tcPr>
            <w:tcW w:w="1528" w:type="dxa"/>
            <w:noWrap/>
            <w:hideMark/>
          </w:tcPr>
          <w:p w14:paraId="2F2A89EB" w14:textId="77777777" w:rsidR="00E37DF8" w:rsidRPr="00E37DF8" w:rsidRDefault="00E37DF8">
            <w:pPr>
              <w:rPr>
                <w:rFonts w:ascii="Arial Narrow" w:hAnsi="Arial Narrow"/>
                <w:sz w:val="16"/>
                <w:szCs w:val="16"/>
              </w:rPr>
            </w:pPr>
            <w:r w:rsidRPr="00E37DF8">
              <w:rPr>
                <w:rFonts w:ascii="Arial Narrow" w:hAnsi="Arial Narrow"/>
                <w:sz w:val="16"/>
                <w:szCs w:val="16"/>
              </w:rPr>
              <w:t>City of Ventura</w:t>
            </w:r>
          </w:p>
        </w:tc>
        <w:tc>
          <w:tcPr>
            <w:tcW w:w="6993" w:type="dxa"/>
            <w:hideMark/>
          </w:tcPr>
          <w:p w14:paraId="1EB3E6C9" w14:textId="77777777" w:rsidR="00E37DF8" w:rsidRPr="00E37DF8" w:rsidRDefault="00E37DF8">
            <w:pPr>
              <w:rPr>
                <w:rFonts w:ascii="Arial Narrow" w:hAnsi="Arial Narrow"/>
                <w:sz w:val="16"/>
                <w:szCs w:val="16"/>
              </w:rPr>
            </w:pPr>
            <w:proofErr w:type="spellStart"/>
            <w:r w:rsidRPr="00E37DF8">
              <w:rPr>
                <w:rFonts w:ascii="Arial Narrow" w:hAnsi="Arial Narrow"/>
                <w:sz w:val="16"/>
                <w:szCs w:val="16"/>
              </w:rPr>
              <w:t>VenturaWaterPure</w:t>
            </w:r>
            <w:proofErr w:type="spellEnd"/>
            <w:r w:rsidRPr="00E37DF8">
              <w:rPr>
                <w:rFonts w:ascii="Arial Narrow" w:hAnsi="Arial Narrow"/>
                <w:sz w:val="16"/>
                <w:szCs w:val="16"/>
              </w:rPr>
              <w:t xml:space="preserve"> will construct an Advanced Water Purification Facility (AWPF) to treat Ventura's tertiary treated effluent to a high quality to be returned to the potable water supply. The project would add up to 5,400 AFY of drought and disaster resilient water supply to Ventura's current water portfolio. This </w:t>
            </w:r>
            <w:proofErr w:type="gramStart"/>
            <w:r w:rsidRPr="00E37DF8">
              <w:rPr>
                <w:rFonts w:ascii="Arial Narrow" w:hAnsi="Arial Narrow"/>
                <w:sz w:val="16"/>
                <w:szCs w:val="16"/>
              </w:rPr>
              <w:t>high quality</w:t>
            </w:r>
            <w:proofErr w:type="gramEnd"/>
            <w:r w:rsidRPr="00E37DF8">
              <w:rPr>
                <w:rFonts w:ascii="Arial Narrow" w:hAnsi="Arial Narrow"/>
                <w:sz w:val="16"/>
                <w:szCs w:val="16"/>
              </w:rPr>
              <w:t xml:space="preserve"> water would be blended with existing water supplies to help improve the overall water quality for the city. The project is comprised of multiple components, including, new treatment wetlands, aquifer storage and recovery wells (ASR), as well as an ocean outfall for concentrate disposal, as well as the AWPF. </w:t>
            </w:r>
          </w:p>
        </w:tc>
        <w:tc>
          <w:tcPr>
            <w:tcW w:w="1080" w:type="dxa"/>
            <w:noWrap/>
            <w:hideMark/>
          </w:tcPr>
          <w:p w14:paraId="76A978C5" w14:textId="77777777" w:rsidR="00E37DF8" w:rsidRPr="00E37DF8" w:rsidRDefault="00E37DF8">
            <w:pPr>
              <w:rPr>
                <w:rFonts w:ascii="Arial Narrow" w:hAnsi="Arial Narrow"/>
                <w:sz w:val="16"/>
                <w:szCs w:val="16"/>
              </w:rPr>
            </w:pPr>
            <w:r w:rsidRPr="00E37DF8">
              <w:rPr>
                <w:rFonts w:ascii="Arial Narrow" w:hAnsi="Arial Narrow"/>
                <w:sz w:val="16"/>
                <w:szCs w:val="16"/>
              </w:rPr>
              <w:t>Submitted for Review</w:t>
            </w:r>
          </w:p>
        </w:tc>
        <w:bookmarkStart w:id="0" w:name="_GoBack"/>
        <w:bookmarkEnd w:id="0"/>
      </w:tr>
    </w:tbl>
    <w:p w14:paraId="23DFFEA8" w14:textId="77777777" w:rsidR="00946E8F" w:rsidRDefault="00946E8F"/>
    <w:sectPr w:rsidR="00946E8F" w:rsidSect="00E37D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C8"/>
    <w:rsid w:val="003825C8"/>
    <w:rsid w:val="00946E8F"/>
    <w:rsid w:val="00E3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B350-FC45-42FE-BB94-53A61C83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2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Whiteford</dc:creator>
  <cp:keywords/>
  <dc:description/>
  <cp:lastModifiedBy>Jamie Whiteford</cp:lastModifiedBy>
  <cp:revision>2</cp:revision>
  <dcterms:created xsi:type="dcterms:W3CDTF">2019-05-18T01:05:00Z</dcterms:created>
  <dcterms:modified xsi:type="dcterms:W3CDTF">2019-05-18T01:12:00Z</dcterms:modified>
</cp:coreProperties>
</file>